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ФЕДЕРАЛЬНЫЙ ФОНД ОБЯЗАТЕЛЬНОГО МЕДИЦИНСКОГО СТРАХОВАНИЯ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ПИСЬМО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августа 2022 г.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00-10-26-2-04/9864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фонд обязательного медицинского страхования, принимая во внимание многочисленные обращения субъектов Российской Федерации по вопросам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расходов на оплату труда врачей и среднего медицинского персонала (далее - средства НСЗ ТФОМС) в связи с вступлением в силу приказа Министерства здравоохранения Российской Федерации от 21.04.2022 № 273н «Об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№ 326-ФЗ «Об обязательном медицинском страховании в Российской Федерации», и видов оказываемой ими медицинской помощи в целях предоставления указанных средств» (далее - Приказ № 273н), сообщает, что не правомочен давать официальные разъяснения конкретных положений вышеуказанного приказа, относящиеся к компетенции Министерства здравоохранения Российской Федерации.</w:t>
      </w: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Вместе с тем Федеральный фонд обязательного медицинского страхования считает возможным отметить следующее.</w:t>
      </w: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Приказом Минздрава № 273н перечень медицинских организаций, которым предоставляются средства НСЗ ТФОМС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расходов на оплату труда медицинских работников, был расширен за счет включения областных (краевых, республиканских, окружных) больниц,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кардио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диспансеров, а также консультативно-диагностических центров.</w:t>
      </w: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№ 273н вступает в силу по истечении десяти дней после дня его официального опубликования (источник опубликования - официальный интернет-портал правовой информации </w:t>
      </w:r>
      <w:hyperlink r:id="rId4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http://pravo.gov.ru</w:t>
        </w:r>
      </w:hyperlink>
      <w:r>
        <w:rPr>
          <w:rFonts w:ascii="Arial" w:hAnsi="Arial" w:cs="Arial"/>
          <w:color w:val="000000"/>
          <w:sz w:val="21"/>
          <w:szCs w:val="21"/>
        </w:rPr>
        <w:t>, дата опубликования - 25.07.2022) - 05.08.2022 и обратной силы не имеет.</w:t>
      </w: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 заявкой на предоставление средств НСЗ ТФОМС медицинской организации, оказывающей медицинскую помощь по видам, определяемым в соответствии с частью 6.6 статьи 26 Федерального закона,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расходов медицинской организации на оплату труда врачей и среднего медицинского персонала, форма которой утверждена приказом Минздрава России от 22.02.2019 № 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софинансирования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расходов медицинских организаций на оплату труда врачей и среднего медицинского персонала», прирост численности по вышеуказанным медицинским организациям считается относительно численности на 1 января текущего года. Таким образом, в качестве показателей прироста, при формировании заявки могут быть включены медицинские работники, фактически принятые на работу с начала текущего года.</w:t>
      </w:r>
    </w:p>
    <w:p w:rsidR="00C55867" w:rsidRDefault="00C55867" w:rsidP="00C55867">
      <w:pPr>
        <w:pStyle w:val="all-p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этом, заявки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софинансирование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этими медицинскими организациями могут предоставляться за период с августа текущего года, а непосредственно Соглашения заключается на этот же период, т.е. начиная с 05.08.2022 по 31.12.2022.</w:t>
      </w:r>
    </w:p>
    <w:p w:rsidR="00C55867" w:rsidRDefault="00C55867" w:rsidP="00C5586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Баланин</w:t>
      </w:r>
      <w:proofErr w:type="spellEnd"/>
    </w:p>
    <w:p w:rsidR="00A95040" w:rsidRDefault="00A95040"/>
    <w:sectPr w:rsidR="00A95040" w:rsidSect="00C558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E8"/>
    <w:rsid w:val="00A26126"/>
    <w:rsid w:val="00A95040"/>
    <w:rsid w:val="00BA65E8"/>
    <w:rsid w:val="00C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B5FE-A332-4228-82FA-171B783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">
    <w:name w:val="all-p"/>
    <w:basedOn w:val="a"/>
    <w:rsid w:val="00C5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Вайсуров</dc:creator>
  <cp:keywords/>
  <dc:description/>
  <cp:lastModifiedBy>Ильяс Вайсуров</cp:lastModifiedBy>
  <cp:revision>2</cp:revision>
  <dcterms:created xsi:type="dcterms:W3CDTF">2023-03-18T17:53:00Z</dcterms:created>
  <dcterms:modified xsi:type="dcterms:W3CDTF">2023-03-18T17:53:00Z</dcterms:modified>
</cp:coreProperties>
</file>